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B9" w:rsidRDefault="00DE41B9" w:rsidP="004175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E41B9">
        <w:rPr>
          <w:rFonts w:ascii="Arial" w:hAnsi="Arial" w:cs="Arial"/>
          <w:sz w:val="22"/>
          <w:szCs w:val="22"/>
        </w:rPr>
        <w:t xml:space="preserve">The Government is committed to reducing </w:t>
      </w:r>
      <w:r w:rsidR="0010312E">
        <w:rPr>
          <w:rFonts w:ascii="Arial" w:hAnsi="Arial" w:cs="Arial"/>
          <w:sz w:val="22"/>
          <w:szCs w:val="22"/>
        </w:rPr>
        <w:t>red tape on</w:t>
      </w:r>
      <w:r w:rsidR="00AF1F32" w:rsidRPr="00AF1F32">
        <w:rPr>
          <w:rFonts w:ascii="Arial" w:hAnsi="Arial" w:cs="Arial"/>
          <w:sz w:val="22"/>
          <w:szCs w:val="22"/>
        </w:rPr>
        <w:t xml:space="preserve"> industry and </w:t>
      </w:r>
      <w:r w:rsidR="000C0C54">
        <w:rPr>
          <w:rFonts w:ascii="Arial" w:hAnsi="Arial" w:cs="Arial"/>
          <w:sz w:val="22"/>
          <w:szCs w:val="22"/>
        </w:rPr>
        <w:t xml:space="preserve">the </w:t>
      </w:r>
      <w:r w:rsidR="00AF1F32" w:rsidRPr="00AF1F32">
        <w:rPr>
          <w:rFonts w:ascii="Arial" w:hAnsi="Arial" w:cs="Arial"/>
          <w:sz w:val="22"/>
          <w:szCs w:val="22"/>
        </w:rPr>
        <w:t xml:space="preserve">community.  </w:t>
      </w:r>
    </w:p>
    <w:p w:rsidR="00DE41B9" w:rsidRPr="00EC2522" w:rsidRDefault="00DE41B9" w:rsidP="004175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</w:pPr>
      <w:r w:rsidRPr="00DE41B9">
        <w:rPr>
          <w:rFonts w:ascii="Arial" w:hAnsi="Arial" w:cs="Arial"/>
          <w:sz w:val="22"/>
          <w:szCs w:val="22"/>
        </w:rPr>
        <w:t>The liquor and gaming red tape reduction program is being progressed in phases, with two Bills already delivered in May 2013 and November 2013.</w:t>
      </w:r>
    </w:p>
    <w:p w:rsidR="00DE41B9" w:rsidRPr="00DE41B9" w:rsidRDefault="00DE41B9" w:rsidP="004175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DE41B9">
        <w:rPr>
          <w:rFonts w:ascii="Arial" w:hAnsi="Arial" w:cs="Arial"/>
          <w:sz w:val="22"/>
          <w:szCs w:val="22"/>
        </w:rPr>
        <w:t xml:space="preserve"> </w:t>
      </w:r>
      <w:r w:rsidR="00612A78">
        <w:rPr>
          <w:rFonts w:ascii="Arial" w:hAnsi="Arial" w:cs="Arial"/>
          <w:sz w:val="22"/>
          <w:szCs w:val="22"/>
        </w:rPr>
        <w:t xml:space="preserve">Construction and Tourism (Red Tape Reduction) </w:t>
      </w:r>
      <w:r w:rsidR="002E70EC">
        <w:rPr>
          <w:rFonts w:ascii="Arial" w:hAnsi="Arial" w:cs="Arial"/>
          <w:sz w:val="22"/>
          <w:szCs w:val="22"/>
        </w:rPr>
        <w:t xml:space="preserve">and Other Legislation </w:t>
      </w:r>
      <w:r w:rsidR="00612A78">
        <w:rPr>
          <w:rFonts w:ascii="Arial" w:hAnsi="Arial" w:cs="Arial"/>
          <w:sz w:val="22"/>
          <w:szCs w:val="22"/>
        </w:rPr>
        <w:t xml:space="preserve">Amendment Bill 2014 </w:t>
      </w:r>
      <w:r w:rsidR="000C0C54">
        <w:rPr>
          <w:rFonts w:ascii="Arial" w:hAnsi="Arial" w:cs="Arial"/>
          <w:sz w:val="22"/>
          <w:szCs w:val="22"/>
        </w:rPr>
        <w:t xml:space="preserve">will amend the </w:t>
      </w:r>
      <w:r w:rsidR="000C0C54" w:rsidRPr="00B36F8A">
        <w:rPr>
          <w:rFonts w:ascii="Arial" w:hAnsi="Arial" w:cs="Arial"/>
          <w:i/>
          <w:sz w:val="22"/>
          <w:szCs w:val="22"/>
        </w:rPr>
        <w:t>Gaming Machine Act 1991</w:t>
      </w:r>
      <w:r w:rsidR="000C0C54">
        <w:rPr>
          <w:rFonts w:ascii="Arial" w:hAnsi="Arial" w:cs="Arial"/>
          <w:sz w:val="22"/>
          <w:szCs w:val="22"/>
        </w:rPr>
        <w:t xml:space="preserve"> to reduce </w:t>
      </w:r>
      <w:r w:rsidR="00B623E6">
        <w:rPr>
          <w:rFonts w:ascii="Arial" w:hAnsi="Arial" w:cs="Arial"/>
          <w:sz w:val="22"/>
          <w:szCs w:val="22"/>
        </w:rPr>
        <w:t>red tape</w:t>
      </w:r>
      <w:r w:rsidR="000C0C54">
        <w:rPr>
          <w:rFonts w:ascii="Arial" w:hAnsi="Arial" w:cs="Arial"/>
          <w:sz w:val="22"/>
          <w:szCs w:val="22"/>
        </w:rPr>
        <w:t xml:space="preserve"> on community clubs by</w:t>
      </w:r>
      <w:r w:rsidRPr="00DE41B9">
        <w:rPr>
          <w:rFonts w:ascii="Arial" w:hAnsi="Arial" w:cs="Arial"/>
          <w:sz w:val="22"/>
          <w:szCs w:val="22"/>
        </w:rPr>
        <w:t>:</w:t>
      </w:r>
    </w:p>
    <w:p w:rsidR="000C0C54" w:rsidRDefault="00DE41B9" w:rsidP="00DE4945">
      <w:pPr>
        <w:keepLines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41B9">
        <w:rPr>
          <w:rFonts w:ascii="Arial" w:hAnsi="Arial" w:cs="Arial"/>
          <w:sz w:val="22"/>
          <w:szCs w:val="22"/>
        </w:rPr>
        <w:t>remov</w:t>
      </w:r>
      <w:r w:rsidR="000C0C54">
        <w:rPr>
          <w:rFonts w:ascii="Arial" w:hAnsi="Arial" w:cs="Arial"/>
          <w:sz w:val="22"/>
          <w:szCs w:val="22"/>
        </w:rPr>
        <w:t>ing</w:t>
      </w:r>
      <w:r w:rsidRPr="00DE41B9">
        <w:rPr>
          <w:rFonts w:ascii="Arial" w:hAnsi="Arial" w:cs="Arial"/>
          <w:sz w:val="22"/>
          <w:szCs w:val="22"/>
        </w:rPr>
        <w:t xml:space="preserve"> the ‘near rule’ for additional club premises</w:t>
      </w:r>
      <w:r w:rsidR="000727FE">
        <w:rPr>
          <w:rFonts w:ascii="Arial" w:hAnsi="Arial" w:cs="Arial"/>
          <w:sz w:val="22"/>
          <w:szCs w:val="22"/>
        </w:rPr>
        <w:t xml:space="preserve"> to </w:t>
      </w:r>
      <w:r w:rsidR="000727FE" w:rsidRPr="000727FE">
        <w:rPr>
          <w:rFonts w:ascii="Arial" w:hAnsi="Arial" w:cs="Arial"/>
          <w:sz w:val="22"/>
          <w:szCs w:val="22"/>
        </w:rPr>
        <w:t>facilitate larger clubs to establish new club premises in greenfield areas and to take over smaller struggling clubs to prevent their closure</w:t>
      </w:r>
      <w:r w:rsidR="000727FE">
        <w:rPr>
          <w:rFonts w:ascii="Arial" w:hAnsi="Arial" w:cs="Arial"/>
          <w:sz w:val="22"/>
          <w:szCs w:val="22"/>
        </w:rPr>
        <w:t>;</w:t>
      </w:r>
    </w:p>
    <w:p w:rsidR="00DE41B9" w:rsidRPr="00DE41B9" w:rsidRDefault="000C0C54" w:rsidP="00DE4945">
      <w:pPr>
        <w:keepLines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removing </w:t>
      </w:r>
      <w:r w:rsidR="00DE41B9" w:rsidRPr="00DE41B9">
        <w:rPr>
          <w:rFonts w:ascii="Arial" w:hAnsi="Arial" w:cs="Arial"/>
          <w:sz w:val="22"/>
          <w:szCs w:val="22"/>
        </w:rPr>
        <w:t>club gaming machine entitlement regional boundaries</w:t>
      </w:r>
      <w:r w:rsidR="000727FE">
        <w:rPr>
          <w:rFonts w:ascii="Arial" w:hAnsi="Arial" w:cs="Arial"/>
          <w:sz w:val="22"/>
          <w:szCs w:val="22"/>
        </w:rPr>
        <w:t xml:space="preserve"> to allow clubs to trade their gaming machine entitlements with any licensed club in the state</w:t>
      </w:r>
      <w:r w:rsidR="00DE41B9" w:rsidRPr="00DE41B9">
        <w:rPr>
          <w:rFonts w:ascii="Arial" w:hAnsi="Arial" w:cs="Arial"/>
          <w:sz w:val="22"/>
          <w:szCs w:val="22"/>
        </w:rPr>
        <w:t xml:space="preserve">; </w:t>
      </w:r>
      <w:r w:rsidR="000727FE">
        <w:rPr>
          <w:rFonts w:ascii="Arial" w:hAnsi="Arial" w:cs="Arial"/>
          <w:sz w:val="22"/>
          <w:szCs w:val="22"/>
        </w:rPr>
        <w:t xml:space="preserve">and </w:t>
      </w:r>
    </w:p>
    <w:p w:rsidR="00EE048B" w:rsidRPr="00F11F96" w:rsidRDefault="00EE048B" w:rsidP="00DE4945">
      <w:pPr>
        <w:keepLines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3"/>
          <w:szCs w:val="23"/>
          <w:lang w:eastAsia="en-US"/>
        </w:rPr>
      </w:pPr>
      <w:r w:rsidRPr="00C365C8">
        <w:rPr>
          <w:rFonts w:ascii="Arial" w:hAnsi="Arial" w:cs="Arial"/>
          <w:sz w:val="22"/>
          <w:szCs w:val="22"/>
        </w:rPr>
        <w:t xml:space="preserve">providing a head of power within the </w:t>
      </w:r>
      <w:r w:rsidRPr="00C365C8">
        <w:rPr>
          <w:rFonts w:ascii="Arial" w:hAnsi="Arial" w:cs="Arial"/>
          <w:i/>
          <w:sz w:val="22"/>
          <w:szCs w:val="22"/>
        </w:rPr>
        <w:t>Gaming Machine Act 1991</w:t>
      </w:r>
      <w:r w:rsidRPr="00C365C8">
        <w:rPr>
          <w:rFonts w:ascii="Arial" w:hAnsi="Arial" w:cs="Arial"/>
          <w:sz w:val="22"/>
          <w:szCs w:val="22"/>
        </w:rPr>
        <w:t xml:space="preserve"> to</w:t>
      </w:r>
      <w:r w:rsidRPr="00F11F96">
        <w:rPr>
          <w:rFonts w:ascii="Arial" w:hAnsi="Arial" w:cs="Arial"/>
          <w:sz w:val="23"/>
          <w:szCs w:val="23"/>
          <w:lang w:eastAsia="en-US"/>
        </w:rPr>
        <w:t xml:space="preserve"> allow for a different maximum number of gaming machines to be prescribed based on the number of venues</w:t>
      </w:r>
      <w:r w:rsidR="000727FE">
        <w:rPr>
          <w:rFonts w:ascii="Arial" w:hAnsi="Arial" w:cs="Arial"/>
          <w:sz w:val="23"/>
          <w:szCs w:val="23"/>
          <w:lang w:eastAsia="en-US"/>
        </w:rPr>
        <w:t xml:space="preserve"> operating under a club licence.</w:t>
      </w:r>
    </w:p>
    <w:p w:rsidR="00EE048B" w:rsidRDefault="000727FE" w:rsidP="004175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makes </w:t>
      </w:r>
      <w:r w:rsidR="00DE41B9" w:rsidRPr="00DE41B9">
        <w:rPr>
          <w:rFonts w:ascii="Arial" w:hAnsi="Arial" w:cs="Arial"/>
          <w:sz w:val="22"/>
          <w:szCs w:val="22"/>
        </w:rPr>
        <w:t xml:space="preserve">a number of minor amendments to </w:t>
      </w:r>
      <w:r w:rsidR="000970C1">
        <w:rPr>
          <w:rFonts w:ascii="Arial" w:hAnsi="Arial" w:cs="Arial"/>
          <w:sz w:val="22"/>
          <w:szCs w:val="22"/>
        </w:rPr>
        <w:t xml:space="preserve">the </w:t>
      </w:r>
      <w:r w:rsidR="00DE41B9" w:rsidRPr="00DE41B9">
        <w:rPr>
          <w:rFonts w:ascii="Arial" w:hAnsi="Arial" w:cs="Arial"/>
          <w:sz w:val="22"/>
          <w:szCs w:val="22"/>
        </w:rPr>
        <w:t xml:space="preserve">gaming </w:t>
      </w:r>
      <w:r w:rsidR="000970C1">
        <w:rPr>
          <w:rFonts w:ascii="Arial" w:hAnsi="Arial" w:cs="Arial"/>
          <w:sz w:val="22"/>
          <w:szCs w:val="22"/>
        </w:rPr>
        <w:t>A</w:t>
      </w:r>
      <w:r w:rsidR="00DE41B9" w:rsidRPr="00DE41B9">
        <w:rPr>
          <w:rFonts w:ascii="Arial" w:hAnsi="Arial" w:cs="Arial"/>
          <w:sz w:val="22"/>
          <w:szCs w:val="22"/>
        </w:rPr>
        <w:t>cts</w:t>
      </w:r>
      <w:r w:rsidR="0010312E">
        <w:rPr>
          <w:rFonts w:ascii="Arial" w:hAnsi="Arial" w:cs="Arial"/>
          <w:sz w:val="22"/>
          <w:szCs w:val="22"/>
        </w:rPr>
        <w:t xml:space="preserve"> </w:t>
      </w:r>
      <w:r w:rsidR="0010312E" w:rsidRPr="0010312E">
        <w:rPr>
          <w:rFonts w:ascii="Arial" w:hAnsi="Arial" w:cs="Arial"/>
          <w:sz w:val="22"/>
          <w:szCs w:val="22"/>
        </w:rPr>
        <w:t>to reduce red tape and improve the clarity and efficiency of the legislation</w:t>
      </w:r>
      <w:r w:rsidR="00EE048B">
        <w:rPr>
          <w:rFonts w:ascii="Arial" w:hAnsi="Arial" w:cs="Arial"/>
          <w:sz w:val="22"/>
          <w:szCs w:val="22"/>
        </w:rPr>
        <w:t>.</w:t>
      </w:r>
    </w:p>
    <w:p w:rsidR="00A5666F" w:rsidRDefault="00DE41B9" w:rsidP="004175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E41B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Bill </w:t>
      </w:r>
      <w:r w:rsidRPr="00DE41B9">
        <w:rPr>
          <w:rFonts w:ascii="Arial" w:hAnsi="Arial" w:cs="Arial"/>
          <w:sz w:val="22"/>
          <w:szCs w:val="22"/>
        </w:rPr>
        <w:t>will a</w:t>
      </w:r>
      <w:r>
        <w:rPr>
          <w:rFonts w:ascii="Arial" w:hAnsi="Arial" w:cs="Arial"/>
          <w:sz w:val="22"/>
          <w:szCs w:val="22"/>
        </w:rPr>
        <w:t xml:space="preserve">malgamate </w:t>
      </w:r>
      <w:r w:rsidR="00453AD4">
        <w:rPr>
          <w:rFonts w:ascii="Arial" w:hAnsi="Arial" w:cs="Arial"/>
          <w:sz w:val="22"/>
          <w:szCs w:val="22"/>
        </w:rPr>
        <w:t xml:space="preserve">the </w:t>
      </w:r>
      <w:r w:rsidR="00453AD4" w:rsidRPr="00453AD4">
        <w:rPr>
          <w:rFonts w:ascii="Arial" w:hAnsi="Arial" w:cs="Arial"/>
          <w:sz w:val="22"/>
          <w:szCs w:val="22"/>
        </w:rPr>
        <w:t>Breakwater Island Casino Community Benefit Fund</w:t>
      </w:r>
      <w:r w:rsidR="000727FE">
        <w:rPr>
          <w:rFonts w:ascii="Arial" w:hAnsi="Arial" w:cs="Arial"/>
          <w:sz w:val="22"/>
          <w:szCs w:val="22"/>
        </w:rPr>
        <w:t xml:space="preserve">, the </w:t>
      </w:r>
      <w:r w:rsidR="00453AD4" w:rsidRPr="00453AD4">
        <w:rPr>
          <w:rFonts w:ascii="Arial" w:hAnsi="Arial" w:cs="Arial"/>
          <w:sz w:val="22"/>
          <w:szCs w:val="22"/>
        </w:rPr>
        <w:t xml:space="preserve">Reef Hotel Casino Community Benefit Fund </w:t>
      </w:r>
      <w:r w:rsidR="000727FE" w:rsidRPr="000727FE">
        <w:rPr>
          <w:rFonts w:ascii="Arial" w:hAnsi="Arial" w:cs="Arial"/>
          <w:sz w:val="22"/>
          <w:szCs w:val="22"/>
        </w:rPr>
        <w:t xml:space="preserve">and the </w:t>
      </w:r>
      <w:r w:rsidR="00453AD4" w:rsidRPr="00453AD4">
        <w:rPr>
          <w:rFonts w:ascii="Arial" w:hAnsi="Arial" w:cs="Arial"/>
          <w:sz w:val="22"/>
          <w:szCs w:val="22"/>
        </w:rPr>
        <w:t>Jupiters Casino Community Benefit Fund</w:t>
      </w:r>
      <w:r w:rsidR="00453AD4" w:rsidDel="000727FE">
        <w:rPr>
          <w:rFonts w:ascii="Arial" w:hAnsi="Arial" w:cs="Arial"/>
          <w:sz w:val="22"/>
          <w:szCs w:val="22"/>
        </w:rPr>
        <w:t xml:space="preserve"> </w:t>
      </w:r>
      <w:r w:rsidRPr="00DE41B9">
        <w:rPr>
          <w:rFonts w:ascii="Arial" w:hAnsi="Arial" w:cs="Arial"/>
          <w:sz w:val="22"/>
          <w:szCs w:val="22"/>
        </w:rPr>
        <w:t xml:space="preserve">into the Gambling Community Benefit Fund </w:t>
      </w:r>
      <w:r w:rsidR="00A5666F">
        <w:rPr>
          <w:rFonts w:ascii="Arial" w:hAnsi="Arial" w:cs="Arial"/>
          <w:sz w:val="22"/>
          <w:szCs w:val="22"/>
        </w:rPr>
        <w:t xml:space="preserve">to provide a </w:t>
      </w:r>
      <w:r w:rsidR="00B93541">
        <w:rPr>
          <w:rFonts w:ascii="Arial" w:hAnsi="Arial" w:cs="Arial"/>
          <w:sz w:val="22"/>
          <w:szCs w:val="22"/>
        </w:rPr>
        <w:t xml:space="preserve">single more </w:t>
      </w:r>
      <w:r w:rsidR="00A5666F">
        <w:rPr>
          <w:rFonts w:ascii="Arial" w:hAnsi="Arial" w:cs="Arial"/>
          <w:sz w:val="22"/>
          <w:szCs w:val="22"/>
        </w:rPr>
        <w:t>streamlined and equitable grants program.</w:t>
      </w:r>
    </w:p>
    <w:p w:rsidR="00DE41B9" w:rsidRPr="00DE41B9" w:rsidRDefault="000970C1" w:rsidP="004175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E41B9" w:rsidRPr="00DE41B9">
        <w:rPr>
          <w:rFonts w:ascii="Arial" w:hAnsi="Arial" w:cs="Arial"/>
          <w:sz w:val="22"/>
          <w:szCs w:val="22"/>
        </w:rPr>
        <w:t xml:space="preserve">he Bill contains provisions to repeal the </w:t>
      </w:r>
      <w:smartTag w:uri="urn:schemas-microsoft-com:office:smarttags" w:element="place">
        <w:smartTag w:uri="urn:schemas-microsoft-com:office:smarttags" w:element="country-region">
          <w:r w:rsidR="00DE41B9" w:rsidRPr="00DE41B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DE41B9" w:rsidRPr="00DE41B9">
        <w:rPr>
          <w:rFonts w:ascii="Arial" w:hAnsi="Arial" w:cs="Arial"/>
          <w:sz w:val="22"/>
          <w:szCs w:val="22"/>
        </w:rPr>
        <w:t xml:space="preserve"> travel agents legislation and make consequential amendments, further to a national review by the Council of Australian Governments Legislative and Governance Forum on Consumer Affairs</w:t>
      </w:r>
      <w:r w:rsidR="00DE41B9">
        <w:rPr>
          <w:rFonts w:ascii="Arial" w:hAnsi="Arial" w:cs="Arial"/>
          <w:sz w:val="22"/>
          <w:szCs w:val="22"/>
        </w:rPr>
        <w:t>.</w:t>
      </w:r>
    </w:p>
    <w:p w:rsidR="00E973BC" w:rsidRPr="00570D5F" w:rsidRDefault="00E973BC" w:rsidP="0041752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0D5F">
        <w:rPr>
          <w:rFonts w:ascii="Arial" w:hAnsi="Arial" w:cs="Arial"/>
          <w:sz w:val="22"/>
          <w:szCs w:val="22"/>
          <w:u w:val="single"/>
        </w:rPr>
        <w:t>Cabinet approved</w:t>
      </w:r>
      <w:r w:rsidR="00570D5F" w:rsidRPr="00D31A0A">
        <w:rPr>
          <w:rFonts w:ascii="Arial" w:hAnsi="Arial" w:cs="Arial"/>
          <w:sz w:val="22"/>
          <w:szCs w:val="22"/>
        </w:rPr>
        <w:t xml:space="preserve"> </w:t>
      </w:r>
      <w:r w:rsidR="00570D5F" w:rsidRPr="00570D5F">
        <w:rPr>
          <w:rFonts w:ascii="Arial" w:hAnsi="Arial" w:cs="Arial"/>
          <w:sz w:val="22"/>
          <w:szCs w:val="22"/>
        </w:rPr>
        <w:t xml:space="preserve">the introduction of the </w:t>
      </w:r>
      <w:r w:rsidR="00E51D38" w:rsidRPr="00E51D38">
        <w:rPr>
          <w:rFonts w:ascii="Arial" w:hAnsi="Arial" w:cs="Arial"/>
          <w:sz w:val="22"/>
          <w:szCs w:val="22"/>
        </w:rPr>
        <w:t>Construction and Tourism (Red Tape Reduction) and Other Legislation Amendment Bill 2014</w:t>
      </w:r>
      <w:r w:rsidR="00E51D38">
        <w:rPr>
          <w:rFonts w:ascii="Arial" w:hAnsi="Arial" w:cs="Arial"/>
          <w:sz w:val="22"/>
          <w:szCs w:val="22"/>
        </w:rPr>
        <w:t xml:space="preserve"> </w:t>
      </w:r>
      <w:r w:rsidR="00570D5F" w:rsidRPr="00570D5F">
        <w:rPr>
          <w:rFonts w:ascii="Arial" w:hAnsi="Arial" w:cs="Arial"/>
          <w:sz w:val="22"/>
          <w:szCs w:val="22"/>
        </w:rPr>
        <w:t>into the Legislative Assembly.</w:t>
      </w:r>
    </w:p>
    <w:p w:rsidR="00E973BC" w:rsidRPr="00570D5F" w:rsidRDefault="00E973BC" w:rsidP="0041752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0D5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70D5F" w:rsidRPr="00186807" w:rsidRDefault="005A7688" w:rsidP="0041752E">
      <w:pPr>
        <w:keepLines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15611" w:rsidRPr="00640027">
          <w:rPr>
            <w:rStyle w:val="Hyperlink"/>
            <w:rFonts w:ascii="Arial" w:hAnsi="Arial" w:cs="Arial"/>
            <w:sz w:val="22"/>
            <w:szCs w:val="22"/>
          </w:rPr>
          <w:t xml:space="preserve">Construction and Tourism (Red Tape Reduction) </w:t>
        </w:r>
        <w:r w:rsidR="002E70EC" w:rsidRPr="00640027">
          <w:rPr>
            <w:rStyle w:val="Hyperlink"/>
            <w:rFonts w:ascii="Arial" w:hAnsi="Arial" w:cs="Arial"/>
            <w:sz w:val="22"/>
            <w:szCs w:val="22"/>
          </w:rPr>
          <w:t xml:space="preserve">and Other Legislation </w:t>
        </w:r>
        <w:r w:rsidR="00015611" w:rsidRPr="00640027">
          <w:rPr>
            <w:rStyle w:val="Hyperlink"/>
            <w:rFonts w:ascii="Arial" w:hAnsi="Arial" w:cs="Arial"/>
            <w:sz w:val="22"/>
            <w:szCs w:val="22"/>
          </w:rPr>
          <w:t>Amendment</w:t>
        </w:r>
        <w:r w:rsidR="00570D5F" w:rsidRPr="00640027">
          <w:rPr>
            <w:rStyle w:val="Hyperlink"/>
            <w:rFonts w:ascii="Arial" w:hAnsi="Arial" w:cs="Arial"/>
            <w:sz w:val="22"/>
            <w:szCs w:val="22"/>
          </w:rPr>
          <w:t xml:space="preserve"> Bill 2014</w:t>
        </w:r>
      </w:hyperlink>
    </w:p>
    <w:p w:rsidR="00E973BC" w:rsidRPr="00533A2F" w:rsidRDefault="005A7688" w:rsidP="0041752E">
      <w:pPr>
        <w:keepLines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70D5F" w:rsidRPr="0064002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533A2F" w:rsidSect="0041752E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EC" w:rsidRDefault="008155EC" w:rsidP="00D6589B">
      <w:r>
        <w:separator/>
      </w:r>
    </w:p>
  </w:endnote>
  <w:endnote w:type="continuationSeparator" w:id="0">
    <w:p w:rsidR="008155EC" w:rsidRDefault="008155E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EC" w:rsidRDefault="008155EC" w:rsidP="00D6589B">
      <w:r>
        <w:separator/>
      </w:r>
    </w:p>
  </w:footnote>
  <w:footnote w:type="continuationSeparator" w:id="0">
    <w:p w:rsidR="008155EC" w:rsidRDefault="008155E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2F" w:rsidRPr="00937A4A" w:rsidRDefault="00533A2F" w:rsidP="00533A2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33A2F" w:rsidRPr="00937A4A" w:rsidRDefault="00533A2F" w:rsidP="00533A2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33A2F" w:rsidRPr="00937A4A" w:rsidRDefault="00533A2F" w:rsidP="00533A2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2014</w:t>
    </w:r>
  </w:p>
  <w:p w:rsidR="00533A2F" w:rsidRDefault="00533A2F" w:rsidP="00533A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Construction and Tourism (Red Tape Reduction) and Other Legislation Amendment Bill 2014</w:t>
    </w:r>
  </w:p>
  <w:p w:rsidR="00533A2F" w:rsidRPr="003A13A1" w:rsidRDefault="00533A2F" w:rsidP="00533A2F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533A2F" w:rsidRPr="003A13A1" w:rsidRDefault="00533A2F" w:rsidP="00533A2F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A73"/>
    <w:multiLevelType w:val="hybridMultilevel"/>
    <w:tmpl w:val="E92E20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05FB8"/>
    <w:multiLevelType w:val="multilevel"/>
    <w:tmpl w:val="BCBE577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F0B2F1D"/>
    <w:multiLevelType w:val="hybridMultilevel"/>
    <w:tmpl w:val="BCBE577E"/>
    <w:lvl w:ilvl="0" w:tplc="FB6017B4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56014EF"/>
    <w:multiLevelType w:val="hybridMultilevel"/>
    <w:tmpl w:val="7B922618"/>
    <w:lvl w:ilvl="0" w:tplc="FB6017B4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906273D8">
      <w:start w:val="4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2615FF2"/>
    <w:multiLevelType w:val="hybridMultilevel"/>
    <w:tmpl w:val="2F96EB2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5BE4382"/>
    <w:multiLevelType w:val="hybridMultilevel"/>
    <w:tmpl w:val="211A381E"/>
    <w:lvl w:ilvl="0" w:tplc="3688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1177"/>
        </w:tabs>
        <w:ind w:left="1177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36E8E512"/>
    <w:lvl w:ilvl="0" w:tplc="9E1AB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5611"/>
    <w:rsid w:val="00015A31"/>
    <w:rsid w:val="00036A93"/>
    <w:rsid w:val="000430DD"/>
    <w:rsid w:val="000668E2"/>
    <w:rsid w:val="000727FE"/>
    <w:rsid w:val="00080F8F"/>
    <w:rsid w:val="0008575A"/>
    <w:rsid w:val="000970C1"/>
    <w:rsid w:val="000C0C54"/>
    <w:rsid w:val="001013DA"/>
    <w:rsid w:val="00102858"/>
    <w:rsid w:val="0010312E"/>
    <w:rsid w:val="001318FA"/>
    <w:rsid w:val="00140936"/>
    <w:rsid w:val="00174117"/>
    <w:rsid w:val="00186807"/>
    <w:rsid w:val="001E209B"/>
    <w:rsid w:val="001E7127"/>
    <w:rsid w:val="0021344B"/>
    <w:rsid w:val="00247341"/>
    <w:rsid w:val="002D649F"/>
    <w:rsid w:val="002E70EC"/>
    <w:rsid w:val="00301738"/>
    <w:rsid w:val="003032B1"/>
    <w:rsid w:val="003A13A1"/>
    <w:rsid w:val="003B5871"/>
    <w:rsid w:val="0041752E"/>
    <w:rsid w:val="0042331D"/>
    <w:rsid w:val="00453AD4"/>
    <w:rsid w:val="004674CD"/>
    <w:rsid w:val="00495940"/>
    <w:rsid w:val="004C57C2"/>
    <w:rsid w:val="004E3AE1"/>
    <w:rsid w:val="00501C66"/>
    <w:rsid w:val="0050474C"/>
    <w:rsid w:val="005160B4"/>
    <w:rsid w:val="00533A2F"/>
    <w:rsid w:val="00550873"/>
    <w:rsid w:val="00570D5F"/>
    <w:rsid w:val="005A7688"/>
    <w:rsid w:val="005E2C9B"/>
    <w:rsid w:val="00612A78"/>
    <w:rsid w:val="00640027"/>
    <w:rsid w:val="00654B0A"/>
    <w:rsid w:val="00672AF8"/>
    <w:rsid w:val="006E7012"/>
    <w:rsid w:val="00732E22"/>
    <w:rsid w:val="00757B12"/>
    <w:rsid w:val="008155EC"/>
    <w:rsid w:val="00821E64"/>
    <w:rsid w:val="00837711"/>
    <w:rsid w:val="00846C12"/>
    <w:rsid w:val="008A4523"/>
    <w:rsid w:val="008A634D"/>
    <w:rsid w:val="008F44CD"/>
    <w:rsid w:val="0093748E"/>
    <w:rsid w:val="00A12727"/>
    <w:rsid w:val="00A527A5"/>
    <w:rsid w:val="00A5666F"/>
    <w:rsid w:val="00AC4385"/>
    <w:rsid w:val="00AD7250"/>
    <w:rsid w:val="00AE69F0"/>
    <w:rsid w:val="00AF1F32"/>
    <w:rsid w:val="00B36F8A"/>
    <w:rsid w:val="00B623E6"/>
    <w:rsid w:val="00B93541"/>
    <w:rsid w:val="00BB4B59"/>
    <w:rsid w:val="00BB5DBF"/>
    <w:rsid w:val="00C07656"/>
    <w:rsid w:val="00C365C8"/>
    <w:rsid w:val="00C40FB0"/>
    <w:rsid w:val="00C6539C"/>
    <w:rsid w:val="00C75E67"/>
    <w:rsid w:val="00CA7F6A"/>
    <w:rsid w:val="00CB1501"/>
    <w:rsid w:val="00CB4E11"/>
    <w:rsid w:val="00CE6FBA"/>
    <w:rsid w:val="00CF0D8A"/>
    <w:rsid w:val="00D25807"/>
    <w:rsid w:val="00D31A0A"/>
    <w:rsid w:val="00D37176"/>
    <w:rsid w:val="00D6589B"/>
    <w:rsid w:val="00D75134"/>
    <w:rsid w:val="00DB6FE7"/>
    <w:rsid w:val="00DE41B9"/>
    <w:rsid w:val="00DE4945"/>
    <w:rsid w:val="00DE61EC"/>
    <w:rsid w:val="00DF5EE4"/>
    <w:rsid w:val="00E263C0"/>
    <w:rsid w:val="00E40004"/>
    <w:rsid w:val="00E51D38"/>
    <w:rsid w:val="00E5584E"/>
    <w:rsid w:val="00E973BC"/>
    <w:rsid w:val="00EC0475"/>
    <w:rsid w:val="00EE048B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400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BBC61-B82A-4B02-9327-E2F543301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93C52-1D76-4DD4-882B-D95E9E21EB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90FB4E-0380-4DA1-B572-D49DED438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5FC08-4B6F-4C04-9CBC-C028069D6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1622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1916</CharactersWithSpaces>
  <SharedDoc>false</SharedDoc>
  <HyperlinkBase>https://www.cabinet.qld.gov.au/documents/2014/Mar/ConstTourismBill/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2014-05-15T01:34:00Z</cp:lastPrinted>
  <dcterms:created xsi:type="dcterms:W3CDTF">2017-10-25T01:15:00Z</dcterms:created>
  <dcterms:modified xsi:type="dcterms:W3CDTF">2018-03-06T01:25:00Z</dcterms:modified>
  <cp:category>Legislation,Gaming,Tourism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-438365773</vt:i4>
  </property>
  <property fmtid="{D5CDD505-2E9C-101B-9397-08002B2CF9AE}" pid="3" name="_NewReviewCycle">
    <vt:lpwstr/>
  </property>
  <property fmtid="{D5CDD505-2E9C-101B-9397-08002B2CF9AE}" pid="4" name="_PreviousAdHocReviewCycleID">
    <vt:i4>1249579699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